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66" w:rsidRPr="0065566B" w:rsidRDefault="00A65D66" w:rsidP="00682D39">
      <w:pPr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A65D66" w:rsidRPr="0065566B" w:rsidRDefault="00A65D66" w:rsidP="00682D39">
      <w:pPr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682D39" w:rsidRPr="0065566B" w:rsidRDefault="001A36F4" w:rsidP="00682D39">
      <w:pPr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  <w:r w:rsidRPr="0065566B">
        <w:rPr>
          <w:rFonts w:ascii="Trebuchet MS" w:hAnsi="Trebuchet MS" w:cs="Arial"/>
          <w:b/>
          <w:snapToGrid w:val="0"/>
          <w:sz w:val="22"/>
          <w:szCs w:val="22"/>
          <w:lang w:val="ro-RO"/>
        </w:rPr>
        <w:t xml:space="preserve">NOTĂ DE FUNDAMENTARE </w:t>
      </w:r>
    </w:p>
    <w:p w:rsidR="00A37674" w:rsidRPr="0065566B" w:rsidRDefault="00A37674" w:rsidP="00682D39">
      <w:pPr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A65D66" w:rsidRPr="0065566B" w:rsidRDefault="00A65D66" w:rsidP="00682D39">
      <w:pPr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A65D66" w:rsidRPr="0065566B" w:rsidRDefault="00A65D66" w:rsidP="00682D39">
      <w:pPr>
        <w:jc w:val="center"/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p w:rsidR="00682D39" w:rsidRPr="0065566B" w:rsidRDefault="00682D39" w:rsidP="00682D39">
      <w:pPr>
        <w:rPr>
          <w:rFonts w:ascii="Trebuchet MS" w:hAnsi="Trebuchet MS" w:cs="Arial"/>
          <w:b/>
          <w:snapToGrid w:val="0"/>
          <w:sz w:val="22"/>
          <w:szCs w:val="22"/>
          <w:lang w:val="ro-RO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61"/>
        <w:gridCol w:w="1040"/>
        <w:gridCol w:w="1080"/>
        <w:gridCol w:w="1080"/>
        <w:gridCol w:w="1080"/>
        <w:gridCol w:w="1080"/>
        <w:gridCol w:w="1208"/>
      </w:tblGrid>
      <w:tr w:rsidR="008B516A" w:rsidRPr="0065566B" w:rsidTr="00346997">
        <w:trPr>
          <w:cantSplit/>
          <w:trHeight w:val="950"/>
        </w:trPr>
        <w:tc>
          <w:tcPr>
            <w:tcW w:w="11199" w:type="dxa"/>
            <w:gridSpan w:val="8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Secţiunea 1 – Titlul proiectului de act normativ</w:t>
            </w:r>
          </w:p>
          <w:p w:rsidR="00ED5CA9" w:rsidRPr="0065566B" w:rsidRDefault="00ED5CA9" w:rsidP="00346997">
            <w:pPr>
              <w:jc w:val="center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</w:p>
          <w:p w:rsidR="00D05D7D" w:rsidRPr="0065566B" w:rsidRDefault="00D05D7D" w:rsidP="00D05D7D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/>
                <w:b/>
                <w:sz w:val="22"/>
                <w:szCs w:val="22"/>
                <w:lang w:val="ro-RO"/>
              </w:rPr>
              <w:t>ORDONANȚĂ DE URGENȚĂ</w:t>
            </w:r>
          </w:p>
          <w:p w:rsidR="00F46DA8" w:rsidRPr="0065566B" w:rsidRDefault="00F46DA8" w:rsidP="00F46D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5566B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pentru completarea Ordonanței de urgență a Guvernului nr. 90/2017 </w:t>
            </w:r>
            <w:r w:rsidRPr="0065566B">
              <w:rPr>
                <w:rFonts w:ascii="Trebuchet MS" w:hAnsi="Trebuchet MS"/>
                <w:b/>
                <w:sz w:val="22"/>
                <w:szCs w:val="22"/>
              </w:rPr>
              <w:t>privind unele măsuri fiscal-bugetare, modificarea şi completarea unor acte normative şi prorogarea unor termene</w:t>
            </w:r>
          </w:p>
          <w:p w:rsidR="00A65D66" w:rsidRPr="0065566B" w:rsidRDefault="00A65D66" w:rsidP="00D05D7D">
            <w:pPr>
              <w:ind w:firstLine="567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rPr>
          <w:cantSplit/>
          <w:trHeight w:val="468"/>
        </w:trPr>
        <w:tc>
          <w:tcPr>
            <w:tcW w:w="11199" w:type="dxa"/>
            <w:gridSpan w:val="8"/>
          </w:tcPr>
          <w:p w:rsidR="00A65D66" w:rsidRPr="0065566B" w:rsidRDefault="00A65D66" w:rsidP="00346997">
            <w:pPr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</w:p>
          <w:p w:rsidR="00682D39" w:rsidRPr="0065566B" w:rsidRDefault="00682D39" w:rsidP="00346997">
            <w:pPr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Secţiunea a 2-a – Motivul emiterii actului normativ</w:t>
            </w:r>
          </w:p>
        </w:tc>
      </w:tr>
      <w:tr w:rsidR="008B516A" w:rsidRPr="0065566B" w:rsidTr="00346997">
        <w:tc>
          <w:tcPr>
            <w:tcW w:w="3970" w:type="dxa"/>
            <w:tcBorders>
              <w:right w:val="single" w:sz="4" w:space="0" w:color="auto"/>
            </w:tcBorders>
          </w:tcPr>
          <w:p w:rsidR="00DA2B94" w:rsidRPr="0065566B" w:rsidRDefault="00DA2B94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1. Descrierea situaţiei actuale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65566B" w:rsidRDefault="00DA2B94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  <w:p w:rsidR="00DA2B94" w:rsidRPr="0065566B" w:rsidRDefault="00DA2B94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La acest moment, la nivelul sistemului penitenciar, se înregistrează un deficit</w:t>
            </w:r>
            <w:r w:rsidR="00601EDC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major de personal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(peste 2400 de posturi vacante), datorat în principal plecărilor din sistem, deficit care se menține și se adâncește, cu toate că în ultimul timp s-au definitivat </w:t>
            </w:r>
            <w:r w:rsidR="00E54EE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o serie de proceduri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de ocupare a posturilor vacante. </w:t>
            </w:r>
          </w:p>
          <w:p w:rsidR="00E54EEE" w:rsidRPr="0065566B" w:rsidRDefault="00E54EEE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  <w:p w:rsidR="00601EDC" w:rsidRPr="0065566B" w:rsidRDefault="00884D1E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Acest deficit major de personal </w:t>
            </w:r>
            <w:r w:rsidR="00601EDC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a făcut ca la începutul anului 2017 să se înregistreze un număr de 539.445 ore suplimentare efectuate și nerecuperate, ca urmare a muncii suplimentare efectuate în anii anteriori. În cursul anului 2017 au fost înregistrate ore suplimentare astfel :</w:t>
            </w:r>
          </w:p>
          <w:p w:rsidR="00601EDC" w:rsidRPr="0065566B" w:rsidRDefault="00601EDC" w:rsidP="00601EDC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rebuchet MS" w:hAnsi="Trebuchet MS" w:cs="Arial"/>
                <w:lang w:val="fr-FR"/>
              </w:rPr>
            </w:pPr>
            <w:r w:rsidRPr="0065566B">
              <w:rPr>
                <w:rFonts w:ascii="Trebuchet MS" w:hAnsi="Trebuchet MS" w:cs="Arial"/>
                <w:lang w:val="fr-FR"/>
              </w:rPr>
              <w:t>în perioada 01.01.2017 – 30.06.2017 – 613.020 ore suplimentare efectuate și 528.566 ore recuperate ;</w:t>
            </w:r>
          </w:p>
          <w:p w:rsidR="00601EDC" w:rsidRPr="0065566B" w:rsidRDefault="00601EDC" w:rsidP="00601EDC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rebuchet MS" w:hAnsi="Trebuchet MS" w:cs="Arial"/>
                <w:lang w:val="fr-FR"/>
              </w:rPr>
            </w:pPr>
            <w:r w:rsidRPr="0065566B">
              <w:rPr>
                <w:rFonts w:ascii="Trebuchet MS" w:hAnsi="Trebuchet MS" w:cs="Arial"/>
                <w:lang w:val="fr-FR"/>
              </w:rPr>
              <w:t xml:space="preserve">în perioada 01.07.2017 – 30.11.2017 s-au înregistrat 511.892 ore suplimentare  și au fost recuperate 410.082 ore. Astfel, la această dată sunt înregistrate ca ore suplimentare necompensate cu timp liber corespunzător un număr de 725.709 ore. </w:t>
            </w:r>
          </w:p>
          <w:p w:rsidR="00EF29C5" w:rsidRPr="0065566B" w:rsidRDefault="00601EDC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În cadrul sistemului penitenciar, având în vedere specificul activității </w:t>
            </w:r>
            <w:r w:rsidR="00884D1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care necesită asigurarea unei pe</w:t>
            </w:r>
            <w:r w:rsidR="00010D67">
              <w:rPr>
                <w:rFonts w:ascii="Trebuchet MS" w:hAnsi="Trebuchet MS" w:cs="Arial"/>
                <w:sz w:val="22"/>
                <w:szCs w:val="22"/>
                <w:lang w:val="fr-FR"/>
              </w:rPr>
              <w:t>rma</w:t>
            </w:r>
            <w:bookmarkStart w:id="0" w:name="_GoBack"/>
            <w:bookmarkEnd w:id="0"/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nențe a activ</w:t>
            </w:r>
            <w:r w:rsidR="00D35FB2">
              <w:rPr>
                <w:rFonts w:ascii="Trebuchet MS" w:hAnsi="Trebuchet MS" w:cs="Arial"/>
                <w:sz w:val="22"/>
                <w:szCs w:val="22"/>
                <w:lang w:val="fr-FR"/>
              </w:rPr>
              <w:t>it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ăților de pază, escortare și supraveghere a pers</w:t>
            </w:r>
            <w:r w:rsidR="00DA2B94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oanelor private de libertate și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pentru înd</w:t>
            </w:r>
            <w:r w:rsidR="00DA2B94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e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plinirea </w:t>
            </w:r>
            <w:r w:rsidR="00884D1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în condiții corespunzătoare a 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unor misiuni specifice, nu se poate acorda timp liber în compensarea muncii suplimentare pentru tot personalul</w:t>
            </w:r>
            <w:r w:rsidR="00DA2B94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. </w:t>
            </w:r>
            <w:r w:rsidR="00884D1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Pe măsura efectuării muncii suplimentare, numărul de ore efectuate și necompensate se acumulează, devenind imposibilă compensarea </w:t>
            </w:r>
            <w:r w:rsidR="0055636A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acestora cu timp liber într-o perioadă rezonabilă. </w:t>
            </w:r>
            <w:r w:rsidR="00884D1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</w:p>
          <w:p w:rsidR="0055636A" w:rsidRPr="0065566B" w:rsidRDefault="0055636A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  <w:p w:rsidR="0055636A" w:rsidRPr="0065566B" w:rsidRDefault="0055636A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Mai mult, depășirea cuantumului de 180 de ore suplimentar lucrate de un singur angajat este condiționată de acordul funcționarului public și al sindicatului reprezentativ, exist</w:t>
            </w:r>
            <w:r w:rsidR="00E54EE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ând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un risc major ca o anumită parte a activităților specifice să nu mai poate fi îndeplinite, lucru ce poate duce la blocarea sistemului sau a anumitor zone de activitate din sistem. </w:t>
            </w:r>
          </w:p>
          <w:p w:rsidR="003204DC" w:rsidRPr="0065566B" w:rsidRDefault="003204DC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  <w:p w:rsidR="003204DC" w:rsidRPr="0065566B" w:rsidRDefault="003204DC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Din punct de vedere legislativ, la acest moment, compensarea orelor suplimentare prestate de personalul bugetar se poate face numai cu 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lastRenderedPageBreak/>
              <w:t xml:space="preserve">timp liber corespunzător, măsură ce a fost prevăzută </w:t>
            </w:r>
            <w:r w:rsidR="00E54EE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pentru anul 2017 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în Ordonanța de urgență a Guvernului nr. 9/2017 </w:t>
            </w:r>
            <w:r w:rsidRPr="0065566B">
              <w:rPr>
                <w:rFonts w:ascii="Trebuchet MS" w:eastAsiaTheme="minorHAnsi" w:hAnsi="Trebuchet MS"/>
                <w:sz w:val="22"/>
                <w:szCs w:val="22"/>
              </w:rPr>
              <w:t>privind unele măsuri bugetare în anul 2017, prorogarea unor termene, precum şi modificarea şi completarea unor acte normative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și care se va prelungi și în anul 2018 prin Ordonanța de urgență a Guvernului nr. 90/2017 privind unele măsuri fiscal-bugetare, modificarea și completarea unor acte normative și prorogarea unor termene. </w:t>
            </w:r>
          </w:p>
          <w:p w:rsidR="00795475" w:rsidRPr="0065566B" w:rsidRDefault="00795475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  <w:p w:rsidR="003204DC" w:rsidRDefault="003204DC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Prin urmare, se impune adoptarea unui </w:t>
            </w:r>
            <w:r w:rsidR="00795475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proiect de 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act normativ în regim de urgență care să prevadă plata orelor suplimentare </w:t>
            </w:r>
            <w:r w:rsidR="0065566B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efectuate de </w:t>
            </w:r>
            <w:r w:rsidR="00795475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personalul din penitenciare. Considerăm că adoptarea acestui act normativ 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nu mai poate fi amânat</w:t>
            </w:r>
            <w:r w:rsidR="00C1292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ă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, orice </w:t>
            </w:r>
            <w:r w:rsidR="00795475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întârziere în reglementarea situației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r w:rsidR="005E207A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poate</w:t>
            </w: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atrage blocarea activității sistemului penitenciar, cu grave consecințe atât asupra drepturilor deținuților, cât și asupra siguranței publice. </w:t>
            </w:r>
            <w:r w:rsidR="00C1292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De asemenea, star</w:t>
            </w:r>
            <w:r w:rsidR="00795475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ea de nemulțu</w:t>
            </w:r>
            <w:r w:rsidR="00C1292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mire generală </w:t>
            </w:r>
            <w:r w:rsidR="00E54EE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a personalului din </w:t>
            </w:r>
            <w:r w:rsidR="00C1292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cadrul unităților penitenciare poate duce la blocaje rezultate din întreruperea acti</w:t>
            </w:r>
            <w:r w:rsidR="00795475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vității sau refuzul salariaților</w:t>
            </w:r>
            <w:r w:rsidR="00C1292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 </w:t>
            </w:r>
            <w:r w:rsidR="00795475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ori a sindicatelor </w:t>
            </w:r>
            <w:r w:rsidR="00C1292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de a-ș</w:t>
            </w:r>
            <w:r w:rsidR="00795475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i da </w:t>
            </w:r>
            <w:r w:rsidR="00BE5B93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în continuare </w:t>
            </w:r>
            <w:r w:rsidR="00795475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acordul pentru prestarea </w:t>
            </w:r>
            <w:r w:rsidR="00C1292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orelor suplimentare peste limita </w:t>
            </w:r>
            <w:r w:rsidR="00795475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>prevăzută de lege</w:t>
            </w:r>
            <w:r w:rsidR="00C1292E"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. </w:t>
            </w:r>
          </w:p>
          <w:p w:rsidR="00884D1E" w:rsidRPr="0065566B" w:rsidRDefault="00C14F68" w:rsidP="00601EDC">
            <w:pPr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  <w:r>
              <w:rPr>
                <w:rFonts w:ascii="Trebuchet MS" w:hAnsi="Trebuchet MS" w:cs="Arial"/>
                <w:sz w:val="22"/>
                <w:szCs w:val="22"/>
                <w:lang w:val="fr-FR"/>
              </w:rPr>
              <w:t xml:space="preserve">De asemenea, trebuie menționat că dispoziția de principiu cuprinsă în art. 2 alin. (4) din Capitolul II, Anexa nr. VI la Legea-cadru nr. 153/2017 privind salarizarea personalului plătit din fonduri publice rămâne aplicabilă. Această prevedere definește noțiunea de </w:t>
            </w:r>
            <w:r w:rsidRPr="00836F68">
              <w:rPr>
                <w:rFonts w:ascii="Trebuchet MS" w:hAnsi="Trebuchet MS" w:cs="Arial"/>
                <w:i/>
                <w:sz w:val="22"/>
                <w:szCs w:val="22"/>
                <w:lang w:val="fr-FR"/>
              </w:rPr>
              <w:t>funcționar public cu statut special din sistemul administrației penitenciare</w:t>
            </w:r>
            <w:r>
              <w:rPr>
                <w:rFonts w:ascii="Trebuchet MS" w:hAnsi="Trebuchet MS" w:cs="Arial"/>
                <w:i/>
                <w:sz w:val="22"/>
                <w:szCs w:val="22"/>
                <w:lang w:val="fr-FR"/>
              </w:rPr>
              <w:t xml:space="preserve">, în sensul legii salarizării: </w:t>
            </w:r>
            <w:r>
              <w:rPr>
                <w:rFonts w:ascii="Trebuchet MS" w:hAnsi="Trebuchet MS" w:cs="Arial"/>
                <w:sz w:val="22"/>
                <w:szCs w:val="22"/>
                <w:lang w:val="fr-FR"/>
              </w:rPr>
              <w:t>funcționarii publici cu statut special din sistemul administrației penitenciare și din Ministerul Justiției aflați sub incidența Legii nr. 293/2004 privind Statutul funcționarilor publici cu statut special din Administrația Națională a Penitenciarelor.</w:t>
            </w:r>
          </w:p>
        </w:tc>
      </w:tr>
      <w:tr w:rsidR="008B516A" w:rsidRPr="0065566B" w:rsidTr="00346997">
        <w:tc>
          <w:tcPr>
            <w:tcW w:w="3970" w:type="dxa"/>
            <w:tcBorders>
              <w:right w:val="single" w:sz="4" w:space="0" w:color="auto"/>
            </w:tcBorders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1</w:t>
            </w: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vertAlign w:val="superscript"/>
                <w:lang w:val="ro-RO"/>
              </w:rPr>
              <w:t>1</w:t>
            </w: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. În cazul proiectelor de acte normative care transpun legislație comunitară sau creează cadrul pentru aplicarea directă a acesteia, se vor specifica doar actele comunitare în cauză, însoțite de elementele de identificare ale acestora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shd w:val="clear" w:color="auto" w:fill="FFFFFF"/>
              <w:spacing w:before="72"/>
              <w:ind w:left="22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Nu este cazul. </w:t>
            </w:r>
          </w:p>
          <w:p w:rsidR="00682D39" w:rsidRPr="0065566B" w:rsidRDefault="00682D39" w:rsidP="00346997">
            <w:pPr>
              <w:shd w:val="clear" w:color="auto" w:fill="FFFFFF"/>
              <w:spacing w:before="72"/>
              <w:ind w:left="22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682D39" w:rsidRPr="0065566B" w:rsidRDefault="00682D39" w:rsidP="00346997">
            <w:pPr>
              <w:shd w:val="clear" w:color="auto" w:fill="FFFFFF"/>
              <w:spacing w:before="72"/>
              <w:ind w:left="22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682D39" w:rsidRPr="0065566B" w:rsidRDefault="00682D39" w:rsidP="00346997">
            <w:pPr>
              <w:shd w:val="clear" w:color="auto" w:fill="FFFFFF"/>
              <w:spacing w:before="72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682D39" w:rsidRPr="0065566B" w:rsidRDefault="00682D39" w:rsidP="00346997">
            <w:pPr>
              <w:shd w:val="clear" w:color="auto" w:fill="FFFFFF"/>
              <w:spacing w:before="72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3970" w:type="dxa"/>
            <w:tcBorders>
              <w:right w:val="single" w:sz="4" w:space="0" w:color="auto"/>
            </w:tcBorders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2. Schimbări preconizate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EC" w:rsidRPr="0065566B" w:rsidRDefault="0055636A" w:rsidP="00D35FB2">
            <w:pPr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/>
                <w:sz w:val="22"/>
                <w:szCs w:val="22"/>
                <w:lang w:val="ro-RO"/>
              </w:rPr>
              <w:t>Față de cele precizate la punctul 1, pentru recompensarea eforturilor depuse de personalul sistemului penitenciar și ținând seama de și condițiile de</w:t>
            </w:r>
            <w:r w:rsidR="003204DC" w:rsidRPr="0065566B">
              <w:rPr>
                <w:rFonts w:ascii="Trebuchet MS" w:hAnsi="Trebuchet MS"/>
                <w:sz w:val="22"/>
                <w:szCs w:val="22"/>
                <w:lang w:val="ro-RO"/>
              </w:rPr>
              <w:t>osebite</w:t>
            </w:r>
            <w:r w:rsidRPr="0065566B">
              <w:rPr>
                <w:rFonts w:ascii="Trebuchet MS" w:hAnsi="Trebuchet MS"/>
                <w:sz w:val="22"/>
                <w:szCs w:val="22"/>
                <w:lang w:val="ro-RO"/>
              </w:rPr>
              <w:t xml:space="preserve"> de muncă</w:t>
            </w:r>
            <w:r w:rsidR="003204DC" w:rsidRPr="0065566B">
              <w:rPr>
                <w:rFonts w:ascii="Trebuchet MS" w:hAnsi="Trebuchet MS"/>
                <w:sz w:val="22"/>
                <w:szCs w:val="22"/>
                <w:lang w:val="ro-RO"/>
              </w:rPr>
              <w:t xml:space="preserve">, prin prezentul proiect de ordonanță de urgență propunem ca, </w:t>
            </w:r>
            <w:r w:rsidR="0065566B" w:rsidRPr="0065566B">
              <w:rPr>
                <w:rFonts w:ascii="Trebuchet MS" w:hAnsi="Trebuchet MS"/>
                <w:sz w:val="22"/>
                <w:szCs w:val="22"/>
                <w:lang w:val="ro-RO"/>
              </w:rPr>
              <w:t xml:space="preserve">începând cu 1 ianuarie 2018, prin derogare de la prevederile art. 8 din Ordonanța de urgență a Guvernului nr. 90/2017, în cazul în care compensarea prin ore libere plătite nu este posibilă în termenul legal, munca </w:t>
            </w:r>
            <w:r w:rsidR="0065566B" w:rsidRPr="0065566B">
              <w:rPr>
                <w:rFonts w:ascii="Trebuchet MS" w:hAnsi="Trebuchet MS"/>
                <w:sz w:val="22"/>
                <w:szCs w:val="22"/>
              </w:rPr>
              <w:t xml:space="preserve">suplimentară efectuată peste durata normală a timpului de lucru de către funcționarii publici cu statut special din sistemul administrației penitenciare </w:t>
            </w:r>
            <w:r w:rsidR="00D35FB2">
              <w:rPr>
                <w:rFonts w:ascii="Trebuchet MS" w:hAnsi="Trebuchet MS"/>
                <w:sz w:val="22"/>
                <w:szCs w:val="22"/>
              </w:rPr>
              <w:t>să fie</w:t>
            </w:r>
            <w:r w:rsidR="0065566B" w:rsidRPr="0065566B">
              <w:rPr>
                <w:rFonts w:ascii="Trebuchet MS" w:hAnsi="Trebuchet MS"/>
                <w:sz w:val="22"/>
                <w:szCs w:val="22"/>
              </w:rPr>
              <w:t xml:space="preserve"> plătită în luna următoare cu o majorare de </w:t>
            </w:r>
            <w:r w:rsidR="0065566B" w:rsidRPr="0065566B">
              <w:rPr>
                <w:rFonts w:ascii="Trebuchet MS" w:hAnsi="Trebuchet MS"/>
                <w:sz w:val="22"/>
                <w:szCs w:val="22"/>
                <w:lang w:val="ro-RO"/>
              </w:rPr>
              <w:t xml:space="preserve">100% din salariul de funcție, proporțional cu numărul de ore suplimentare efectuate.    </w:t>
            </w:r>
          </w:p>
        </w:tc>
      </w:tr>
      <w:tr w:rsidR="008B516A" w:rsidRPr="0065566B" w:rsidTr="00346997">
        <w:tc>
          <w:tcPr>
            <w:tcW w:w="3970" w:type="dxa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3. Alte informaţii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11199" w:type="dxa"/>
            <w:gridSpan w:val="8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Secţiunea a 3-a – Impactul socioeconomic al proiectului de act normativ</w:t>
            </w:r>
          </w:p>
        </w:tc>
      </w:tr>
      <w:tr w:rsidR="008B516A" w:rsidRPr="0065566B" w:rsidTr="00346997">
        <w:tc>
          <w:tcPr>
            <w:tcW w:w="3970" w:type="dxa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1. Impactul macroeconomic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Nu este cazul. </w:t>
            </w:r>
          </w:p>
        </w:tc>
      </w:tr>
      <w:tr w:rsidR="008B516A" w:rsidRPr="0065566B" w:rsidTr="00346997">
        <w:tc>
          <w:tcPr>
            <w:tcW w:w="3970" w:type="dxa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1</w:t>
            </w: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vertAlign w:val="superscript"/>
                <w:lang w:val="ro-RO"/>
              </w:rPr>
              <w:t>1</w:t>
            </w: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. Impactul asupra mediului concurențial și domeniului ajutoarelor de stat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Nu este cazul </w:t>
            </w:r>
          </w:p>
        </w:tc>
      </w:tr>
      <w:tr w:rsidR="008B516A" w:rsidRPr="0065566B" w:rsidTr="00346997">
        <w:tc>
          <w:tcPr>
            <w:tcW w:w="3970" w:type="dxa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2. Impactul asupra mediului afaceri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Nu este cazul </w:t>
            </w:r>
          </w:p>
        </w:tc>
      </w:tr>
      <w:tr w:rsidR="008B516A" w:rsidRPr="0065566B" w:rsidTr="00346997">
        <w:tc>
          <w:tcPr>
            <w:tcW w:w="3970" w:type="dxa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3. Impactul social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Nu este cazul</w:t>
            </w:r>
          </w:p>
        </w:tc>
      </w:tr>
      <w:tr w:rsidR="008B516A" w:rsidRPr="0065566B" w:rsidTr="00346997">
        <w:tc>
          <w:tcPr>
            <w:tcW w:w="3970" w:type="dxa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4. Impactul asupra mediului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Nu este cazul</w:t>
            </w:r>
          </w:p>
        </w:tc>
      </w:tr>
      <w:tr w:rsidR="008B516A" w:rsidRPr="0065566B" w:rsidTr="00346997">
        <w:tc>
          <w:tcPr>
            <w:tcW w:w="3970" w:type="dxa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5. Alte informaţii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11199" w:type="dxa"/>
            <w:gridSpan w:val="8"/>
          </w:tcPr>
          <w:p w:rsidR="00682D39" w:rsidRPr="0065566B" w:rsidRDefault="00682D39" w:rsidP="0034699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Secţiunea a 4-a – Impactul financiar asupra bugetului general consolidat, atât pe termen scurt, pentru anul curent, cât şi pe termen lung (5 ani).</w:t>
            </w:r>
          </w:p>
        </w:tc>
      </w:tr>
      <w:tr w:rsidR="008B516A" w:rsidRPr="0065566B" w:rsidTr="00346997">
        <w:tc>
          <w:tcPr>
            <w:tcW w:w="11199" w:type="dxa"/>
            <w:gridSpan w:val="8"/>
          </w:tcPr>
          <w:p w:rsidR="00682D39" w:rsidRPr="0065566B" w:rsidRDefault="00682D39" w:rsidP="00346997">
            <w:pPr>
              <w:jc w:val="right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- mii lei -</w:t>
            </w: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Anul curent</w:t>
            </w:r>
          </w:p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Următorii 4 ani</w:t>
            </w: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Media pe 5 ani</w:t>
            </w: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2</w:t>
            </w:r>
          </w:p>
          <w:p w:rsidR="00682D39" w:rsidRPr="0065566B" w:rsidRDefault="00026553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3</w:t>
            </w:r>
          </w:p>
          <w:p w:rsidR="00682D39" w:rsidRPr="0065566B" w:rsidRDefault="00682D39" w:rsidP="00026553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201</w:t>
            </w:r>
            <w:r w:rsidR="00026553"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4</w:t>
            </w:r>
          </w:p>
          <w:p w:rsidR="00682D39" w:rsidRPr="0065566B" w:rsidRDefault="00682D39" w:rsidP="00026553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201</w:t>
            </w:r>
            <w:r w:rsidR="00026553"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5</w:t>
            </w:r>
          </w:p>
          <w:p w:rsidR="00682D39" w:rsidRPr="0065566B" w:rsidRDefault="00682D39" w:rsidP="00026553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20</w:t>
            </w:r>
            <w:r w:rsidR="00026553"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6</w:t>
            </w:r>
          </w:p>
          <w:p w:rsidR="00682D39" w:rsidRPr="0065566B" w:rsidRDefault="00682D39" w:rsidP="00026553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202</w:t>
            </w:r>
            <w:r w:rsidR="00026553"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7</w:t>
            </w: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1. Modificări ale veniturilor bugetare, plus/minus, din care:</w:t>
            </w:r>
          </w:p>
        </w:tc>
        <w:tc>
          <w:tcPr>
            <w:tcW w:w="6568" w:type="dxa"/>
            <w:gridSpan w:val="6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a) buget de stat, din acesta: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impozit pe profit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(ii) impozit pe venit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b) bugete locale: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impozit pe profit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c) bugetul asigurărilor sociale de stat: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contribuţii de asigurări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2. Modificări ale cheltuielilor bugetare, plus/minus, din care: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470F2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D80FEB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+8.928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11.160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13.952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17.440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C33ED6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296</w:t>
            </w: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a) buget de stat, din acesta: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470F2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C33ED6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+8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92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11.160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13.952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17.440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C33ED6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296</w:t>
            </w: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470F2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C33ED6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+8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9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2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11.160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13.952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17.440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C33ED6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+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  <w:r w:rsidR="006470F2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296</w:t>
            </w: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(ii) bunuri şi servicii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b) bugete locale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ind w:left="-32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ind w:right="-108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(ii) bunuri şi servicii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c) bugetul asigurărilor sociale de stat: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(ii) bunuri şi servicii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3. Impact financiar, plus/minus, din care: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D80FEB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D80FEB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-8.928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11.160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13.952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17.440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C33ED6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296</w:t>
            </w: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a) buget de stat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D80FEB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D80FEB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-8.928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11.160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13.952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17.440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C33ED6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  <w:r w:rsidR="00D80FEB">
              <w:rPr>
                <w:rFonts w:ascii="Trebuchet MS" w:hAnsi="Trebuchet MS" w:cs="Arial"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296</w:t>
            </w: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-8.928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-11.160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-13.952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-17.440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9" w:rsidRPr="0065566B" w:rsidRDefault="00C33ED6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>
              <w:rPr>
                <w:rFonts w:ascii="Trebuchet MS" w:hAnsi="Trebuchet MS" w:cs="Arial"/>
                <w:sz w:val="22"/>
                <w:szCs w:val="22"/>
                <w:lang w:val="ro-RO"/>
              </w:rPr>
              <w:t>-10.296</w:t>
            </w: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b) bugetele locale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4. Propuneri pentru acoperirea creşterii cheltuielilor bugetare</w:t>
            </w:r>
          </w:p>
        </w:tc>
        <w:tc>
          <w:tcPr>
            <w:tcW w:w="6568" w:type="dxa"/>
            <w:gridSpan w:val="6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5. Propuneri pentru a compensa reducerea veniturilor bugetare</w:t>
            </w:r>
          </w:p>
        </w:tc>
        <w:tc>
          <w:tcPr>
            <w:tcW w:w="104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  <w:tc>
          <w:tcPr>
            <w:tcW w:w="1208" w:type="dxa"/>
            <w:shd w:val="clear" w:color="auto" w:fill="auto"/>
          </w:tcPr>
          <w:p w:rsidR="00682D39" w:rsidRPr="0065566B" w:rsidRDefault="00682D39" w:rsidP="00346997">
            <w:pPr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6568" w:type="dxa"/>
            <w:gridSpan w:val="6"/>
            <w:shd w:val="clear" w:color="auto" w:fill="auto"/>
          </w:tcPr>
          <w:p w:rsidR="00682D39" w:rsidRPr="0065566B" w:rsidRDefault="00682D39" w:rsidP="00346997">
            <w:pPr>
              <w:pStyle w:val="Listparagraf"/>
              <w:ind w:left="0"/>
              <w:jc w:val="both"/>
              <w:rPr>
                <w:rFonts w:ascii="Trebuchet MS" w:hAnsi="Trebuchet MS" w:cs="Arial"/>
                <w:lang w:val="ro-RO"/>
              </w:rPr>
            </w:pPr>
          </w:p>
        </w:tc>
      </w:tr>
      <w:tr w:rsidR="008B516A" w:rsidRPr="0065566B" w:rsidTr="00346997">
        <w:tc>
          <w:tcPr>
            <w:tcW w:w="4631" w:type="dxa"/>
            <w:gridSpan w:val="2"/>
          </w:tcPr>
          <w:p w:rsidR="00682D39" w:rsidRPr="0065566B" w:rsidRDefault="00682D39" w:rsidP="00346997">
            <w:pPr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7 Alte informații</w:t>
            </w:r>
          </w:p>
        </w:tc>
        <w:tc>
          <w:tcPr>
            <w:tcW w:w="6568" w:type="dxa"/>
            <w:gridSpan w:val="6"/>
            <w:shd w:val="clear" w:color="auto" w:fill="auto"/>
          </w:tcPr>
          <w:p w:rsidR="00682D39" w:rsidRPr="0065566B" w:rsidRDefault="00682D39" w:rsidP="00A14D7B">
            <w:pPr>
              <w:jc w:val="both"/>
              <w:rPr>
                <w:rFonts w:ascii="Trebuchet MS" w:hAnsi="Trebuchet MS" w:cs="Arial"/>
                <w:bCs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c>
          <w:tcPr>
            <w:tcW w:w="11199" w:type="dxa"/>
            <w:gridSpan w:val="8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Secţiunea a 5 –a – Efectele proiectului de act normativ asupra legislaţiei în vigoare</w:t>
            </w:r>
          </w:p>
        </w:tc>
      </w:tr>
      <w:tr w:rsidR="008B516A" w:rsidRPr="0065566B" w:rsidTr="00346997"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1. </w:t>
            </w:r>
            <w:r w:rsidRPr="0065566B">
              <w:rPr>
                <w:rFonts w:ascii="Trebuchet MS" w:hAnsi="Trebuchet MS" w:cs="Arial"/>
                <w:sz w:val="22"/>
                <w:szCs w:val="22"/>
              </w:rPr>
              <w:t xml:space="preserve">Măsuri normative necesare pentru   aplicarea prevederilor  proiectului de act normativ:                                            </w:t>
            </w:r>
          </w:p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</w:rPr>
              <w:t xml:space="preserve">a) acte normative în vigoare ce vor    fi modificate sau abrogate, ca   urmare a intrării în vigoare a       proiectului de act normativ;    </w:t>
            </w:r>
          </w:p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fr-FR"/>
              </w:rPr>
              <w:lastRenderedPageBreak/>
              <w:t>b) acte normative ce urmează a fi elaborate în implementării noilor dispoziţii.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 xml:space="preserve">Nu este cazul. </w:t>
            </w:r>
          </w:p>
        </w:tc>
      </w:tr>
      <w:tr w:rsidR="008B516A" w:rsidRPr="0065566B" w:rsidTr="00346997"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1</w:t>
            </w: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vertAlign w:val="superscript"/>
                <w:lang w:val="ro-RO"/>
              </w:rPr>
              <w:t>1</w:t>
            </w: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. Compatibilitatea proiectului de act normativ cu legislația în domeniul achizițiilor publice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</w:t>
            </w:r>
          </w:p>
        </w:tc>
      </w:tr>
      <w:tr w:rsidR="008B516A" w:rsidRPr="0065566B" w:rsidTr="00346997">
        <w:trPr>
          <w:trHeight w:val="330"/>
        </w:trPr>
        <w:tc>
          <w:tcPr>
            <w:tcW w:w="3970" w:type="dxa"/>
          </w:tcPr>
          <w:p w:rsidR="00682D39" w:rsidRPr="0065566B" w:rsidRDefault="00682D39" w:rsidP="0034699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2. </w:t>
            </w:r>
            <w:r w:rsidRPr="0065566B">
              <w:rPr>
                <w:rFonts w:ascii="Trebuchet MS" w:hAnsi="Trebuchet MS" w:cs="Arial"/>
                <w:iCs/>
                <w:sz w:val="22"/>
                <w:szCs w:val="22"/>
              </w:rPr>
              <w:t>Conformitatea proiectului de act normativ cu legislaţia comunitară în cazul proiectelor ce transpun prevederi comunitare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au fost identificate documente în legislaţia comunitară în domeniu.</w:t>
            </w:r>
          </w:p>
        </w:tc>
      </w:tr>
      <w:tr w:rsidR="008B516A" w:rsidRPr="0065566B" w:rsidTr="00346997">
        <w:trPr>
          <w:trHeight w:val="328"/>
        </w:trPr>
        <w:tc>
          <w:tcPr>
            <w:tcW w:w="3970" w:type="dxa"/>
          </w:tcPr>
          <w:p w:rsidR="00682D39" w:rsidRPr="0065566B" w:rsidRDefault="00682D39" w:rsidP="00346997">
            <w:pPr>
              <w:autoSpaceDE w:val="0"/>
              <w:autoSpaceDN w:val="0"/>
              <w:adjustRightInd w:val="0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iCs/>
                <w:sz w:val="22"/>
                <w:szCs w:val="22"/>
              </w:rPr>
              <w:t>3. Măsuri normative necesare aplicării directe a actelor  normative comunitare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Nu este cazul. </w:t>
            </w:r>
          </w:p>
        </w:tc>
      </w:tr>
      <w:tr w:rsidR="008B516A" w:rsidRPr="0065566B" w:rsidTr="00346997">
        <w:trPr>
          <w:trHeight w:val="328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4. Hotărâri ale Curții de Justiție a Uniunii Europene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Nu este cazul. </w:t>
            </w:r>
          </w:p>
        </w:tc>
      </w:tr>
      <w:tr w:rsidR="008B516A" w:rsidRPr="0065566B" w:rsidTr="00346997">
        <w:trPr>
          <w:trHeight w:val="328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5. Alte acte normative și/sau documente internaționale dn care decurg angajamente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Nu este cazul.</w:t>
            </w:r>
          </w:p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rPr>
          <w:trHeight w:val="328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6. Alte informații. 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Nu este cazul. </w:t>
            </w:r>
          </w:p>
        </w:tc>
      </w:tr>
      <w:tr w:rsidR="008B516A" w:rsidRPr="0065566B" w:rsidTr="00346997">
        <w:trPr>
          <w:trHeight w:val="328"/>
        </w:trPr>
        <w:tc>
          <w:tcPr>
            <w:tcW w:w="11199" w:type="dxa"/>
            <w:gridSpan w:val="8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Secţiunea a 6-a – Consultările efectuate în vederea elaborării proiectului de act normativ</w:t>
            </w:r>
          </w:p>
        </w:tc>
      </w:tr>
      <w:tr w:rsidR="008B516A" w:rsidRPr="0065566B" w:rsidTr="00346997">
        <w:trPr>
          <w:trHeight w:val="340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z w:val="22"/>
                <w:szCs w:val="22"/>
                <w:lang w:val="ro-RO"/>
              </w:rPr>
              <w:t>1. Informaţii privind procesul de consultare cu organizaţii neguvernamentale, institute de  cercetare şi alte organisme     implicate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Nu este cazul </w:t>
            </w:r>
          </w:p>
        </w:tc>
      </w:tr>
      <w:tr w:rsidR="008B516A" w:rsidRPr="0065566B" w:rsidTr="00346997">
        <w:trPr>
          <w:trHeight w:val="338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Nu este cazul </w:t>
            </w:r>
          </w:p>
        </w:tc>
      </w:tr>
      <w:tr w:rsidR="008B516A" w:rsidRPr="0065566B" w:rsidTr="00346997">
        <w:trPr>
          <w:trHeight w:val="338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</w:t>
            </w:r>
          </w:p>
        </w:tc>
      </w:tr>
      <w:tr w:rsidR="008B516A" w:rsidRPr="0065566B" w:rsidTr="00346997">
        <w:trPr>
          <w:trHeight w:val="338"/>
        </w:trPr>
        <w:tc>
          <w:tcPr>
            <w:tcW w:w="3970" w:type="dxa"/>
          </w:tcPr>
          <w:p w:rsidR="00682D39" w:rsidRPr="0065566B" w:rsidRDefault="00682D39" w:rsidP="0034699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4. </w:t>
            </w:r>
            <w:r w:rsidRPr="0065566B">
              <w:rPr>
                <w:rFonts w:ascii="Trebuchet MS" w:hAnsi="Trebuchet MS" w:cs="Arial"/>
                <w:sz w:val="22"/>
                <w:szCs w:val="22"/>
              </w:rPr>
              <w:t>Consultările desfăşurate în cadrul consiliilor interministeriale, în conformitate cu prevederile    Hotărârii Guvernului nr. 750/2005  privind constituirea consiliilor    interministeriale permanente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Nu este cazul. </w:t>
            </w:r>
          </w:p>
        </w:tc>
      </w:tr>
      <w:tr w:rsidR="008B516A" w:rsidRPr="0065566B" w:rsidTr="00346997">
        <w:trPr>
          <w:trHeight w:val="338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5. Informaţii privind avizarea de către:</w:t>
            </w:r>
          </w:p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a) Consiliul Legislativ</w:t>
            </w:r>
          </w:p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b) Consiliul Suprem de Apărare a Ţării</w:t>
            </w:r>
          </w:p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lastRenderedPageBreak/>
              <w:t>c) Consiliul Economic şi Social</w:t>
            </w:r>
          </w:p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d) Consiliul Concurenţei</w:t>
            </w:r>
          </w:p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e) Curtea de Conturi.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026553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rPr>
          <w:trHeight w:val="328"/>
        </w:trPr>
        <w:tc>
          <w:tcPr>
            <w:tcW w:w="11199" w:type="dxa"/>
            <w:gridSpan w:val="8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lastRenderedPageBreak/>
              <w:t>Secţiunea a 7-a – Activităţi de informare publică privind elaborarea şi implementarea proiectului de act normativ</w:t>
            </w:r>
          </w:p>
        </w:tc>
      </w:tr>
      <w:tr w:rsidR="008B516A" w:rsidRPr="0065566B" w:rsidTr="00346997">
        <w:trPr>
          <w:trHeight w:val="338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1. Informarea societăţii civile cu privire la necesitatea elaborării actului normativ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rPr>
          <w:trHeight w:val="336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</w:tc>
      </w:tr>
      <w:tr w:rsidR="008B516A" w:rsidRPr="0065566B" w:rsidTr="00346997">
        <w:trPr>
          <w:trHeight w:val="336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3. Alte informații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este cazul</w:t>
            </w:r>
          </w:p>
        </w:tc>
      </w:tr>
      <w:tr w:rsidR="008B516A" w:rsidRPr="0065566B" w:rsidTr="00346997">
        <w:trPr>
          <w:trHeight w:val="336"/>
        </w:trPr>
        <w:tc>
          <w:tcPr>
            <w:tcW w:w="11199" w:type="dxa"/>
            <w:gridSpan w:val="8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b/>
                <w:snapToGrid w:val="0"/>
                <w:sz w:val="22"/>
                <w:szCs w:val="22"/>
                <w:lang w:val="ro-RO"/>
              </w:rPr>
              <w:t>Secţiunea a 8-a - Măsuri de implementare</w:t>
            </w:r>
          </w:p>
        </w:tc>
      </w:tr>
      <w:tr w:rsidR="008B516A" w:rsidRPr="0065566B" w:rsidTr="00346997">
        <w:trPr>
          <w:trHeight w:val="336"/>
        </w:trPr>
        <w:tc>
          <w:tcPr>
            <w:tcW w:w="3970" w:type="dxa"/>
          </w:tcPr>
          <w:p w:rsidR="00836C28" w:rsidRPr="0065566B" w:rsidRDefault="00836C28" w:rsidP="00836C28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</w:p>
          <w:p w:rsidR="00682D39" w:rsidRPr="0065566B" w:rsidRDefault="00836C28" w:rsidP="00836C28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1. </w:t>
            </w:r>
            <w:r w:rsidR="00682D39"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Măsurile de punere î</w:t>
            </w: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n aplicare a proiectului de act </w:t>
            </w:r>
            <w:r w:rsidR="00682D39"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normativ de</w:t>
            </w: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 către</w:t>
            </w:r>
            <w:r w:rsidR="00682D39"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 autorităţile administraţiei publice centrale şi/sau locale – înfiinţarea unor noi organisme sau extinderea competenţelor instituţiilor existente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 xml:space="preserve">Nu este cazul. </w:t>
            </w:r>
          </w:p>
        </w:tc>
      </w:tr>
      <w:tr w:rsidR="008B516A" w:rsidRPr="0065566B" w:rsidTr="00346997">
        <w:trPr>
          <w:trHeight w:val="336"/>
        </w:trPr>
        <w:tc>
          <w:tcPr>
            <w:tcW w:w="3970" w:type="dxa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2. Alte informaţii</w:t>
            </w:r>
          </w:p>
        </w:tc>
        <w:tc>
          <w:tcPr>
            <w:tcW w:w="7229" w:type="dxa"/>
            <w:gridSpan w:val="7"/>
          </w:tcPr>
          <w:p w:rsidR="00682D39" w:rsidRPr="0065566B" w:rsidRDefault="00682D39" w:rsidP="00346997">
            <w:pPr>
              <w:jc w:val="both"/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</w:pPr>
            <w:r w:rsidRPr="0065566B">
              <w:rPr>
                <w:rFonts w:ascii="Trebuchet MS" w:hAnsi="Trebuchet MS" w:cs="Arial"/>
                <w:snapToGrid w:val="0"/>
                <w:sz w:val="22"/>
                <w:szCs w:val="22"/>
                <w:lang w:val="ro-RO"/>
              </w:rPr>
              <w:t>Nu au fost identificate</w:t>
            </w:r>
          </w:p>
        </w:tc>
      </w:tr>
    </w:tbl>
    <w:p w:rsidR="00CD021F" w:rsidRPr="0065566B" w:rsidRDefault="00CD021F" w:rsidP="005D1F87">
      <w:pPr>
        <w:ind w:left="-851" w:right="-660" w:firstLine="720"/>
        <w:jc w:val="both"/>
        <w:rPr>
          <w:rFonts w:ascii="Trebuchet MS" w:hAnsi="Trebuchet MS" w:cs="Arial"/>
          <w:snapToGrid w:val="0"/>
          <w:sz w:val="22"/>
          <w:szCs w:val="22"/>
          <w:lang w:val="ro-RO"/>
        </w:rPr>
      </w:pPr>
    </w:p>
    <w:p w:rsidR="00CD021F" w:rsidRPr="0065566B" w:rsidRDefault="00CD021F" w:rsidP="005D1F87">
      <w:pPr>
        <w:ind w:left="-851" w:right="-660" w:firstLine="720"/>
        <w:jc w:val="both"/>
        <w:rPr>
          <w:rFonts w:ascii="Trebuchet MS" w:hAnsi="Trebuchet MS" w:cs="Arial"/>
          <w:snapToGrid w:val="0"/>
          <w:sz w:val="22"/>
          <w:szCs w:val="22"/>
          <w:lang w:val="ro-RO"/>
        </w:rPr>
      </w:pPr>
    </w:p>
    <w:p w:rsidR="0065566B" w:rsidRPr="0065566B" w:rsidRDefault="00682D39" w:rsidP="0065566B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65566B">
        <w:rPr>
          <w:rFonts w:ascii="Trebuchet MS" w:hAnsi="Trebuchet MS" w:cs="Arial"/>
          <w:snapToGrid w:val="0"/>
          <w:sz w:val="22"/>
          <w:szCs w:val="22"/>
          <w:lang w:val="ro-RO"/>
        </w:rPr>
        <w:t xml:space="preserve">Faţă de cele prezentate, a fost elaborat </w:t>
      </w:r>
      <w:r w:rsidR="005E207A" w:rsidRPr="0065566B">
        <w:rPr>
          <w:rFonts w:ascii="Trebuchet MS" w:hAnsi="Trebuchet MS" w:cs="Arial"/>
          <w:snapToGrid w:val="0"/>
          <w:sz w:val="22"/>
          <w:szCs w:val="22"/>
          <w:lang w:val="ro-RO"/>
        </w:rPr>
        <w:t>pr</w:t>
      </w:r>
      <w:r w:rsidR="00CA0484" w:rsidRPr="0065566B">
        <w:rPr>
          <w:rFonts w:ascii="Trebuchet MS" w:hAnsi="Trebuchet MS" w:cs="Arial"/>
          <w:snapToGrid w:val="0"/>
          <w:sz w:val="22"/>
          <w:szCs w:val="22"/>
          <w:lang w:val="ro-RO"/>
        </w:rPr>
        <w:t>oiectul de O</w:t>
      </w:r>
      <w:r w:rsidR="005E207A" w:rsidRPr="0065566B">
        <w:rPr>
          <w:rFonts w:ascii="Trebuchet MS" w:hAnsi="Trebuchet MS" w:cs="Arial"/>
          <w:snapToGrid w:val="0"/>
          <w:sz w:val="22"/>
          <w:szCs w:val="22"/>
          <w:lang w:val="ro-RO"/>
        </w:rPr>
        <w:t xml:space="preserve">rdonanță de urgență </w:t>
      </w:r>
      <w:r w:rsidR="0065566B" w:rsidRPr="0065566B">
        <w:rPr>
          <w:rFonts w:ascii="Trebuchet MS" w:hAnsi="Trebuchet MS"/>
          <w:sz w:val="22"/>
          <w:szCs w:val="22"/>
          <w:lang w:val="ro-RO"/>
        </w:rPr>
        <w:t xml:space="preserve">pentru completarea Ordonanței de urgență a Guvernului nr. 90/2017 </w:t>
      </w:r>
      <w:r w:rsidR="0065566B" w:rsidRPr="0065566B">
        <w:rPr>
          <w:rFonts w:ascii="Trebuchet MS" w:hAnsi="Trebuchet MS"/>
          <w:sz w:val="22"/>
          <w:szCs w:val="22"/>
        </w:rPr>
        <w:t>privind unele măsuri fiscal-bugetare, modificarea şi completarea unor acte normative şi prorogarea unor termene</w:t>
      </w:r>
      <w:r w:rsidR="00D54EFE">
        <w:rPr>
          <w:rFonts w:ascii="Trebuchet MS" w:hAnsi="Trebuchet MS"/>
          <w:sz w:val="22"/>
          <w:szCs w:val="22"/>
        </w:rPr>
        <w:t xml:space="preserve"> pe care, dacă sunteți de acord, vă rugăm să-l adoptați. </w:t>
      </w:r>
    </w:p>
    <w:p w:rsidR="005E207A" w:rsidRPr="0065566B" w:rsidRDefault="005E207A" w:rsidP="0065566B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230621" w:rsidRPr="0065566B" w:rsidRDefault="00230621" w:rsidP="005E207A">
      <w:pPr>
        <w:ind w:left="-851" w:right="-660"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682D39" w:rsidRPr="0065566B" w:rsidRDefault="00682D39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  <w:r w:rsidRPr="0065566B">
        <w:rPr>
          <w:rFonts w:ascii="Trebuchet MS" w:hAnsi="Trebuchet MS" w:cs="Arial"/>
          <w:b/>
          <w:sz w:val="22"/>
          <w:szCs w:val="22"/>
          <w:lang w:val="ro-RO"/>
        </w:rPr>
        <w:t>Ministrul Justiţiei</w:t>
      </w:r>
    </w:p>
    <w:p w:rsidR="00682D39" w:rsidRPr="0065566B" w:rsidRDefault="00682D39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682D39" w:rsidRPr="0065566B" w:rsidRDefault="00682D39" w:rsidP="00682D39">
      <w:pPr>
        <w:ind w:right="-212"/>
        <w:rPr>
          <w:rFonts w:ascii="Trebuchet MS" w:hAnsi="Trebuchet MS" w:cs="Arial"/>
          <w:b/>
          <w:sz w:val="22"/>
          <w:szCs w:val="22"/>
          <w:lang w:val="ro-RO"/>
        </w:rPr>
      </w:pPr>
    </w:p>
    <w:p w:rsidR="00682D39" w:rsidRPr="0065566B" w:rsidRDefault="00026553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  <w:r w:rsidRPr="0065566B">
        <w:rPr>
          <w:rFonts w:ascii="Trebuchet MS" w:hAnsi="Trebuchet MS" w:cs="Arial"/>
          <w:b/>
          <w:sz w:val="22"/>
          <w:szCs w:val="22"/>
          <w:lang w:val="ro-RO"/>
        </w:rPr>
        <w:t>Tudorel TOADER</w:t>
      </w: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  <w:r w:rsidRPr="0065566B">
        <w:rPr>
          <w:rFonts w:ascii="Trebuchet MS" w:hAnsi="Trebuchet MS" w:cs="Arial"/>
          <w:b/>
          <w:sz w:val="22"/>
          <w:szCs w:val="22"/>
          <w:lang w:val="ro-RO"/>
        </w:rPr>
        <w:t>Ministrul Muncii și Justiției Sociale</w:t>
      </w: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  <w:r w:rsidRPr="0065566B">
        <w:rPr>
          <w:rFonts w:ascii="Trebuchet MS" w:hAnsi="Trebuchet MS" w:cs="Arial"/>
          <w:b/>
          <w:sz w:val="22"/>
          <w:szCs w:val="22"/>
          <w:lang w:val="ro-RO"/>
        </w:rPr>
        <w:t>Lia-Olguța VASILESCU</w:t>
      </w: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  <w:r w:rsidRPr="0065566B">
        <w:rPr>
          <w:rFonts w:ascii="Trebuchet MS" w:hAnsi="Trebuchet MS" w:cs="Arial"/>
          <w:b/>
          <w:sz w:val="22"/>
          <w:szCs w:val="22"/>
          <w:lang w:val="ro-RO"/>
        </w:rPr>
        <w:t>Ministrul Finanțelor Publice</w:t>
      </w: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5E207A" w:rsidRPr="0065566B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</w:p>
    <w:p w:rsidR="00230621" w:rsidRPr="00C14F68" w:rsidRDefault="005E207A" w:rsidP="00682D39">
      <w:pPr>
        <w:ind w:left="-180" w:right="-212"/>
        <w:jc w:val="center"/>
        <w:outlineLvl w:val="0"/>
        <w:rPr>
          <w:rFonts w:ascii="Trebuchet MS" w:hAnsi="Trebuchet MS" w:cs="Arial"/>
          <w:b/>
          <w:sz w:val="22"/>
          <w:szCs w:val="22"/>
          <w:lang w:val="ro-RO"/>
        </w:rPr>
      </w:pPr>
      <w:r w:rsidRPr="0065566B">
        <w:rPr>
          <w:rFonts w:ascii="Trebuchet MS" w:hAnsi="Trebuchet MS" w:cs="Arial"/>
          <w:b/>
          <w:sz w:val="22"/>
          <w:szCs w:val="22"/>
          <w:lang w:val="ro-RO"/>
        </w:rPr>
        <w:t xml:space="preserve">Ionuț MIȘA </w:t>
      </w:r>
    </w:p>
    <w:sectPr w:rsidR="00230621" w:rsidRPr="00C14F68" w:rsidSect="004040DA">
      <w:footerReference w:type="even" r:id="rId7"/>
      <w:footerReference w:type="default" r:id="rId8"/>
      <w:pgSz w:w="12240" w:h="15840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93" w:rsidRDefault="002C1993">
      <w:r>
        <w:separator/>
      </w:r>
    </w:p>
  </w:endnote>
  <w:endnote w:type="continuationSeparator" w:id="0">
    <w:p w:rsidR="002C1993" w:rsidRDefault="002C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DD" w:rsidRDefault="00CD641B" w:rsidP="001D020A">
    <w:pPr>
      <w:pStyle w:val="Subsol"/>
      <w:framePr w:wrap="around" w:vAnchor="text" w:hAnchor="margin" w:xAlign="right" w:y="1"/>
      <w:rPr>
        <w:rStyle w:val="Numrdepagin"/>
        <w:rFonts w:eastAsia="Arial"/>
      </w:rPr>
    </w:pPr>
    <w:r>
      <w:rPr>
        <w:rStyle w:val="Numrdepagin"/>
        <w:rFonts w:eastAsia="Arial"/>
      </w:rPr>
      <w:fldChar w:fldCharType="begin"/>
    </w:r>
    <w:r>
      <w:rPr>
        <w:rStyle w:val="Numrdepagin"/>
        <w:rFonts w:eastAsia="Arial"/>
      </w:rPr>
      <w:instrText xml:space="preserve">PAGE  </w:instrText>
    </w:r>
    <w:r>
      <w:rPr>
        <w:rStyle w:val="Numrdepagin"/>
        <w:rFonts w:eastAsia="Arial"/>
      </w:rPr>
      <w:fldChar w:fldCharType="end"/>
    </w:r>
  </w:p>
  <w:p w:rsidR="007949DD" w:rsidRDefault="002C1993" w:rsidP="00A1663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DD" w:rsidRDefault="00CD641B" w:rsidP="001D020A">
    <w:pPr>
      <w:pStyle w:val="Subsol"/>
      <w:framePr w:wrap="around" w:vAnchor="text" w:hAnchor="margin" w:xAlign="right" w:y="1"/>
      <w:rPr>
        <w:rStyle w:val="Numrdepagin"/>
        <w:rFonts w:eastAsia="Arial"/>
      </w:rPr>
    </w:pPr>
    <w:r>
      <w:rPr>
        <w:rStyle w:val="Numrdepagin"/>
        <w:rFonts w:eastAsia="Arial"/>
      </w:rPr>
      <w:fldChar w:fldCharType="begin"/>
    </w:r>
    <w:r>
      <w:rPr>
        <w:rStyle w:val="Numrdepagin"/>
        <w:rFonts w:eastAsia="Arial"/>
      </w:rPr>
      <w:instrText xml:space="preserve">PAGE  </w:instrText>
    </w:r>
    <w:r>
      <w:rPr>
        <w:rStyle w:val="Numrdepagin"/>
        <w:rFonts w:eastAsia="Arial"/>
      </w:rPr>
      <w:fldChar w:fldCharType="separate"/>
    </w:r>
    <w:r w:rsidR="00010D67">
      <w:rPr>
        <w:rStyle w:val="Numrdepagin"/>
        <w:rFonts w:eastAsia="Arial"/>
        <w:noProof/>
      </w:rPr>
      <w:t>5</w:t>
    </w:r>
    <w:r>
      <w:rPr>
        <w:rStyle w:val="Numrdepagin"/>
        <w:rFonts w:eastAsia="Arial"/>
      </w:rPr>
      <w:fldChar w:fldCharType="end"/>
    </w:r>
  </w:p>
  <w:p w:rsidR="007949DD" w:rsidRDefault="002C1993" w:rsidP="00A1663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93" w:rsidRDefault="002C1993">
      <w:r>
        <w:separator/>
      </w:r>
    </w:p>
  </w:footnote>
  <w:footnote w:type="continuationSeparator" w:id="0">
    <w:p w:rsidR="002C1993" w:rsidRDefault="002C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6BEC"/>
    <w:multiLevelType w:val="hybridMultilevel"/>
    <w:tmpl w:val="26364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30E1"/>
    <w:multiLevelType w:val="hybridMultilevel"/>
    <w:tmpl w:val="439AE2A4"/>
    <w:lvl w:ilvl="0" w:tplc="F6A8468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95CFF"/>
    <w:multiLevelType w:val="hybridMultilevel"/>
    <w:tmpl w:val="BBA8A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74F1"/>
    <w:multiLevelType w:val="hybridMultilevel"/>
    <w:tmpl w:val="063C85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8C324C"/>
    <w:multiLevelType w:val="hybridMultilevel"/>
    <w:tmpl w:val="D3FAD4AC"/>
    <w:lvl w:ilvl="0" w:tplc="D208381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74F8EB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39"/>
    <w:rsid w:val="000023D0"/>
    <w:rsid w:val="0001040E"/>
    <w:rsid w:val="00010D67"/>
    <w:rsid w:val="00011212"/>
    <w:rsid w:val="0001141D"/>
    <w:rsid w:val="000127E2"/>
    <w:rsid w:val="00017A6E"/>
    <w:rsid w:val="000218EF"/>
    <w:rsid w:val="00026553"/>
    <w:rsid w:val="000322FC"/>
    <w:rsid w:val="00036BAE"/>
    <w:rsid w:val="00043DA4"/>
    <w:rsid w:val="00046034"/>
    <w:rsid w:val="000547DA"/>
    <w:rsid w:val="000638D9"/>
    <w:rsid w:val="0008196D"/>
    <w:rsid w:val="00082A28"/>
    <w:rsid w:val="00086F92"/>
    <w:rsid w:val="000A3FE1"/>
    <w:rsid w:val="000B784E"/>
    <w:rsid w:val="000C01C1"/>
    <w:rsid w:val="000C12AF"/>
    <w:rsid w:val="000D7628"/>
    <w:rsid w:val="000E3D8B"/>
    <w:rsid w:val="000F2557"/>
    <w:rsid w:val="000F71A3"/>
    <w:rsid w:val="00100FF5"/>
    <w:rsid w:val="0010161C"/>
    <w:rsid w:val="001142C4"/>
    <w:rsid w:val="00124BCF"/>
    <w:rsid w:val="001250E2"/>
    <w:rsid w:val="00130384"/>
    <w:rsid w:val="00130F88"/>
    <w:rsid w:val="0013108E"/>
    <w:rsid w:val="00134B92"/>
    <w:rsid w:val="0014465F"/>
    <w:rsid w:val="00151383"/>
    <w:rsid w:val="00157AF4"/>
    <w:rsid w:val="00161D80"/>
    <w:rsid w:val="00165992"/>
    <w:rsid w:val="0017057F"/>
    <w:rsid w:val="00192E32"/>
    <w:rsid w:val="0019394A"/>
    <w:rsid w:val="001A026F"/>
    <w:rsid w:val="001A04C3"/>
    <w:rsid w:val="001A36F4"/>
    <w:rsid w:val="001A5432"/>
    <w:rsid w:val="001B3BF6"/>
    <w:rsid w:val="001B3D04"/>
    <w:rsid w:val="001B5243"/>
    <w:rsid w:val="001B5360"/>
    <w:rsid w:val="001D387B"/>
    <w:rsid w:val="001D65AA"/>
    <w:rsid w:val="001D7F72"/>
    <w:rsid w:val="001E176C"/>
    <w:rsid w:val="001F094C"/>
    <w:rsid w:val="001F4363"/>
    <w:rsid w:val="00203278"/>
    <w:rsid w:val="00230621"/>
    <w:rsid w:val="00231F36"/>
    <w:rsid w:val="002431F7"/>
    <w:rsid w:val="00247872"/>
    <w:rsid w:val="00254040"/>
    <w:rsid w:val="00260311"/>
    <w:rsid w:val="00265696"/>
    <w:rsid w:val="00272874"/>
    <w:rsid w:val="00280C69"/>
    <w:rsid w:val="00287ABD"/>
    <w:rsid w:val="0029005D"/>
    <w:rsid w:val="00295488"/>
    <w:rsid w:val="0029598A"/>
    <w:rsid w:val="0029598C"/>
    <w:rsid w:val="00297F53"/>
    <w:rsid w:val="002A1602"/>
    <w:rsid w:val="002A512E"/>
    <w:rsid w:val="002B7D12"/>
    <w:rsid w:val="002C1993"/>
    <w:rsid w:val="002C27DC"/>
    <w:rsid w:val="002D0114"/>
    <w:rsid w:val="002D28E2"/>
    <w:rsid w:val="002E3FBE"/>
    <w:rsid w:val="002E7228"/>
    <w:rsid w:val="002F49A9"/>
    <w:rsid w:val="00315125"/>
    <w:rsid w:val="0031608E"/>
    <w:rsid w:val="003204DC"/>
    <w:rsid w:val="003226BB"/>
    <w:rsid w:val="00340B18"/>
    <w:rsid w:val="00357F44"/>
    <w:rsid w:val="00365D84"/>
    <w:rsid w:val="00366D19"/>
    <w:rsid w:val="00374FC2"/>
    <w:rsid w:val="00380CB0"/>
    <w:rsid w:val="003931E7"/>
    <w:rsid w:val="003A1CCC"/>
    <w:rsid w:val="003A2A71"/>
    <w:rsid w:val="003A67CB"/>
    <w:rsid w:val="003A69B9"/>
    <w:rsid w:val="003B12A2"/>
    <w:rsid w:val="003C2EDE"/>
    <w:rsid w:val="003D0D89"/>
    <w:rsid w:val="003E1BB3"/>
    <w:rsid w:val="003F3EED"/>
    <w:rsid w:val="0040366A"/>
    <w:rsid w:val="004040DA"/>
    <w:rsid w:val="0040555C"/>
    <w:rsid w:val="00406543"/>
    <w:rsid w:val="00410698"/>
    <w:rsid w:val="00425FC7"/>
    <w:rsid w:val="004352AB"/>
    <w:rsid w:val="00454D0F"/>
    <w:rsid w:val="004613AC"/>
    <w:rsid w:val="00461677"/>
    <w:rsid w:val="004731E8"/>
    <w:rsid w:val="00480760"/>
    <w:rsid w:val="00486D6F"/>
    <w:rsid w:val="004B3019"/>
    <w:rsid w:val="004C657F"/>
    <w:rsid w:val="004E7C0C"/>
    <w:rsid w:val="004F6AA3"/>
    <w:rsid w:val="0050125A"/>
    <w:rsid w:val="00501A8C"/>
    <w:rsid w:val="00502CF9"/>
    <w:rsid w:val="00505147"/>
    <w:rsid w:val="00515A1A"/>
    <w:rsid w:val="005176C0"/>
    <w:rsid w:val="00522959"/>
    <w:rsid w:val="005242D3"/>
    <w:rsid w:val="005254BC"/>
    <w:rsid w:val="005263C5"/>
    <w:rsid w:val="00550EB3"/>
    <w:rsid w:val="00554D32"/>
    <w:rsid w:val="0055636A"/>
    <w:rsid w:val="00565421"/>
    <w:rsid w:val="005658F5"/>
    <w:rsid w:val="00574B6A"/>
    <w:rsid w:val="00581D7A"/>
    <w:rsid w:val="005832B3"/>
    <w:rsid w:val="00583BC6"/>
    <w:rsid w:val="0059529F"/>
    <w:rsid w:val="005A396E"/>
    <w:rsid w:val="005B73BC"/>
    <w:rsid w:val="005C1F2E"/>
    <w:rsid w:val="005C3167"/>
    <w:rsid w:val="005C7928"/>
    <w:rsid w:val="005C7C4B"/>
    <w:rsid w:val="005D1E89"/>
    <w:rsid w:val="005D1F87"/>
    <w:rsid w:val="005E207A"/>
    <w:rsid w:val="005F4F9A"/>
    <w:rsid w:val="005F6AEB"/>
    <w:rsid w:val="00601EDC"/>
    <w:rsid w:val="0060307B"/>
    <w:rsid w:val="00603D2B"/>
    <w:rsid w:val="006112DF"/>
    <w:rsid w:val="0061383C"/>
    <w:rsid w:val="006150E4"/>
    <w:rsid w:val="00625961"/>
    <w:rsid w:val="00625A2F"/>
    <w:rsid w:val="00633BF7"/>
    <w:rsid w:val="00642046"/>
    <w:rsid w:val="006470F2"/>
    <w:rsid w:val="00647968"/>
    <w:rsid w:val="006525B9"/>
    <w:rsid w:val="0065566B"/>
    <w:rsid w:val="00655CE9"/>
    <w:rsid w:val="00661D32"/>
    <w:rsid w:val="00666FE9"/>
    <w:rsid w:val="00675195"/>
    <w:rsid w:val="00677429"/>
    <w:rsid w:val="00682D39"/>
    <w:rsid w:val="00690F02"/>
    <w:rsid w:val="00693D37"/>
    <w:rsid w:val="006A09CC"/>
    <w:rsid w:val="006A5986"/>
    <w:rsid w:val="006C48BC"/>
    <w:rsid w:val="006D591B"/>
    <w:rsid w:val="00702F60"/>
    <w:rsid w:val="00705C2F"/>
    <w:rsid w:val="00717FEE"/>
    <w:rsid w:val="00720615"/>
    <w:rsid w:val="00723856"/>
    <w:rsid w:val="00742780"/>
    <w:rsid w:val="00745EB3"/>
    <w:rsid w:val="00750A0F"/>
    <w:rsid w:val="00752798"/>
    <w:rsid w:val="007673B5"/>
    <w:rsid w:val="00772A20"/>
    <w:rsid w:val="00775C4D"/>
    <w:rsid w:val="00782449"/>
    <w:rsid w:val="007828EB"/>
    <w:rsid w:val="0078409C"/>
    <w:rsid w:val="00784E1A"/>
    <w:rsid w:val="00795475"/>
    <w:rsid w:val="0079679D"/>
    <w:rsid w:val="00797A1C"/>
    <w:rsid w:val="007A0B43"/>
    <w:rsid w:val="007A547C"/>
    <w:rsid w:val="007B1529"/>
    <w:rsid w:val="007C0C55"/>
    <w:rsid w:val="007C15A1"/>
    <w:rsid w:val="007C1A6D"/>
    <w:rsid w:val="007C23EA"/>
    <w:rsid w:val="007C4EF9"/>
    <w:rsid w:val="007D50B5"/>
    <w:rsid w:val="007E1AB7"/>
    <w:rsid w:val="00804FFD"/>
    <w:rsid w:val="0081350C"/>
    <w:rsid w:val="008135EF"/>
    <w:rsid w:val="00824A4F"/>
    <w:rsid w:val="00824F57"/>
    <w:rsid w:val="00834005"/>
    <w:rsid w:val="00836C28"/>
    <w:rsid w:val="0084414E"/>
    <w:rsid w:val="008453D4"/>
    <w:rsid w:val="0085360D"/>
    <w:rsid w:val="00866092"/>
    <w:rsid w:val="00866D7D"/>
    <w:rsid w:val="00872C2F"/>
    <w:rsid w:val="0088440E"/>
    <w:rsid w:val="008845D9"/>
    <w:rsid w:val="00884D1E"/>
    <w:rsid w:val="008861DD"/>
    <w:rsid w:val="008935BA"/>
    <w:rsid w:val="008A30C6"/>
    <w:rsid w:val="008A447D"/>
    <w:rsid w:val="008B516A"/>
    <w:rsid w:val="008B6C0F"/>
    <w:rsid w:val="008C16BB"/>
    <w:rsid w:val="008E127A"/>
    <w:rsid w:val="008E1CC2"/>
    <w:rsid w:val="008F2591"/>
    <w:rsid w:val="008F38FE"/>
    <w:rsid w:val="008F5151"/>
    <w:rsid w:val="009012BD"/>
    <w:rsid w:val="0090372A"/>
    <w:rsid w:val="00915D34"/>
    <w:rsid w:val="009237AB"/>
    <w:rsid w:val="009313D2"/>
    <w:rsid w:val="0094022C"/>
    <w:rsid w:val="00943352"/>
    <w:rsid w:val="00953F32"/>
    <w:rsid w:val="009660D1"/>
    <w:rsid w:val="0096774A"/>
    <w:rsid w:val="00977088"/>
    <w:rsid w:val="00983941"/>
    <w:rsid w:val="00992DB5"/>
    <w:rsid w:val="009A79BA"/>
    <w:rsid w:val="009B0CA3"/>
    <w:rsid w:val="009C50A8"/>
    <w:rsid w:val="009D5F9E"/>
    <w:rsid w:val="009E46D1"/>
    <w:rsid w:val="009F549C"/>
    <w:rsid w:val="00A0036A"/>
    <w:rsid w:val="00A012F2"/>
    <w:rsid w:val="00A0265E"/>
    <w:rsid w:val="00A05DEF"/>
    <w:rsid w:val="00A148DA"/>
    <w:rsid w:val="00A14D7B"/>
    <w:rsid w:val="00A207A3"/>
    <w:rsid w:val="00A21FBF"/>
    <w:rsid w:val="00A229DB"/>
    <w:rsid w:val="00A35ACA"/>
    <w:rsid w:val="00A37674"/>
    <w:rsid w:val="00A40444"/>
    <w:rsid w:val="00A43C6D"/>
    <w:rsid w:val="00A50C7F"/>
    <w:rsid w:val="00A53A07"/>
    <w:rsid w:val="00A54BDF"/>
    <w:rsid w:val="00A6103C"/>
    <w:rsid w:val="00A65D66"/>
    <w:rsid w:val="00A76612"/>
    <w:rsid w:val="00A773D3"/>
    <w:rsid w:val="00A80C5B"/>
    <w:rsid w:val="00A93AFF"/>
    <w:rsid w:val="00A96BA6"/>
    <w:rsid w:val="00AA3666"/>
    <w:rsid w:val="00AA74E6"/>
    <w:rsid w:val="00AB5518"/>
    <w:rsid w:val="00AB784B"/>
    <w:rsid w:val="00AC4DC2"/>
    <w:rsid w:val="00AD279E"/>
    <w:rsid w:val="00AF3153"/>
    <w:rsid w:val="00AF7205"/>
    <w:rsid w:val="00B1014D"/>
    <w:rsid w:val="00B11BFC"/>
    <w:rsid w:val="00B14124"/>
    <w:rsid w:val="00B328AB"/>
    <w:rsid w:val="00B35C84"/>
    <w:rsid w:val="00B36CEC"/>
    <w:rsid w:val="00B374C6"/>
    <w:rsid w:val="00B37BF2"/>
    <w:rsid w:val="00B51F50"/>
    <w:rsid w:val="00B57D94"/>
    <w:rsid w:val="00B644B2"/>
    <w:rsid w:val="00B666B3"/>
    <w:rsid w:val="00B82F74"/>
    <w:rsid w:val="00B839D6"/>
    <w:rsid w:val="00B84190"/>
    <w:rsid w:val="00B8702C"/>
    <w:rsid w:val="00BB1511"/>
    <w:rsid w:val="00BB5C4B"/>
    <w:rsid w:val="00BC40C1"/>
    <w:rsid w:val="00BE5B93"/>
    <w:rsid w:val="00BE6536"/>
    <w:rsid w:val="00BF6677"/>
    <w:rsid w:val="00C10BE4"/>
    <w:rsid w:val="00C10C43"/>
    <w:rsid w:val="00C1292E"/>
    <w:rsid w:val="00C14F68"/>
    <w:rsid w:val="00C17D34"/>
    <w:rsid w:val="00C17DA0"/>
    <w:rsid w:val="00C33ED6"/>
    <w:rsid w:val="00C440B7"/>
    <w:rsid w:val="00C5322F"/>
    <w:rsid w:val="00C6101A"/>
    <w:rsid w:val="00C65705"/>
    <w:rsid w:val="00C777C0"/>
    <w:rsid w:val="00C809F3"/>
    <w:rsid w:val="00C90E36"/>
    <w:rsid w:val="00CA0484"/>
    <w:rsid w:val="00CC5905"/>
    <w:rsid w:val="00CC7006"/>
    <w:rsid w:val="00CD021F"/>
    <w:rsid w:val="00CD641B"/>
    <w:rsid w:val="00CE18E2"/>
    <w:rsid w:val="00CE3C3A"/>
    <w:rsid w:val="00CE6F13"/>
    <w:rsid w:val="00D05D7D"/>
    <w:rsid w:val="00D11D65"/>
    <w:rsid w:val="00D16C5F"/>
    <w:rsid w:val="00D215F4"/>
    <w:rsid w:val="00D35FB2"/>
    <w:rsid w:val="00D37C77"/>
    <w:rsid w:val="00D40053"/>
    <w:rsid w:val="00D43D89"/>
    <w:rsid w:val="00D54EFE"/>
    <w:rsid w:val="00D631F1"/>
    <w:rsid w:val="00D734D8"/>
    <w:rsid w:val="00D80FEB"/>
    <w:rsid w:val="00D83BB5"/>
    <w:rsid w:val="00D96720"/>
    <w:rsid w:val="00DA2480"/>
    <w:rsid w:val="00DA2B94"/>
    <w:rsid w:val="00DB46C1"/>
    <w:rsid w:val="00DC2D5C"/>
    <w:rsid w:val="00DC4036"/>
    <w:rsid w:val="00DD21B4"/>
    <w:rsid w:val="00DD62F8"/>
    <w:rsid w:val="00DF00B2"/>
    <w:rsid w:val="00DF55DD"/>
    <w:rsid w:val="00DF5E28"/>
    <w:rsid w:val="00DF60CC"/>
    <w:rsid w:val="00E05BE4"/>
    <w:rsid w:val="00E0677C"/>
    <w:rsid w:val="00E12532"/>
    <w:rsid w:val="00E15872"/>
    <w:rsid w:val="00E25618"/>
    <w:rsid w:val="00E26C2D"/>
    <w:rsid w:val="00E33B23"/>
    <w:rsid w:val="00E47516"/>
    <w:rsid w:val="00E543E2"/>
    <w:rsid w:val="00E54EEE"/>
    <w:rsid w:val="00E578F9"/>
    <w:rsid w:val="00E62B4E"/>
    <w:rsid w:val="00E71A12"/>
    <w:rsid w:val="00E81B38"/>
    <w:rsid w:val="00E8287A"/>
    <w:rsid w:val="00E92E4B"/>
    <w:rsid w:val="00EA21D1"/>
    <w:rsid w:val="00EA32FB"/>
    <w:rsid w:val="00EC1F5F"/>
    <w:rsid w:val="00ED27C3"/>
    <w:rsid w:val="00ED3E85"/>
    <w:rsid w:val="00ED5CA9"/>
    <w:rsid w:val="00EE4735"/>
    <w:rsid w:val="00EF29C5"/>
    <w:rsid w:val="00F049BC"/>
    <w:rsid w:val="00F20CA6"/>
    <w:rsid w:val="00F40D4C"/>
    <w:rsid w:val="00F4663E"/>
    <w:rsid w:val="00F46DA8"/>
    <w:rsid w:val="00F57FE2"/>
    <w:rsid w:val="00F61A57"/>
    <w:rsid w:val="00F81114"/>
    <w:rsid w:val="00F81AFF"/>
    <w:rsid w:val="00F932F3"/>
    <w:rsid w:val="00FB1232"/>
    <w:rsid w:val="00FB38EA"/>
    <w:rsid w:val="00FB729A"/>
    <w:rsid w:val="00FE0A5C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F9AD-272B-4C52-A68E-D0A3158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682D3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82D39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682D39"/>
  </w:style>
  <w:style w:type="paragraph" w:styleId="Listparagraf">
    <w:name w:val="List Paragraph"/>
    <w:basedOn w:val="Normal"/>
    <w:uiPriority w:val="34"/>
    <w:qFormat/>
    <w:rsid w:val="00682D39"/>
    <w:pPr>
      <w:spacing w:after="100" w:afterAutospacing="1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Normal"/>
    <w:rsid w:val="009A79BA"/>
    <w:pPr>
      <w:autoSpaceDE w:val="0"/>
      <w:autoSpaceDN w:val="0"/>
    </w:pPr>
    <w:rPr>
      <w:rFonts w:eastAsiaTheme="minorHAnsi"/>
      <w:color w:val="000000"/>
    </w:rPr>
  </w:style>
  <w:style w:type="paragraph" w:customStyle="1" w:styleId="rvps1">
    <w:name w:val="rvps1"/>
    <w:basedOn w:val="Normal"/>
    <w:rsid w:val="007C0C55"/>
    <w:pPr>
      <w:spacing w:before="100" w:beforeAutospacing="1" w:after="100" w:afterAutospacing="1"/>
    </w:pPr>
    <w:rPr>
      <w:lang w:val="ro-RO" w:eastAsia="ro-RO"/>
    </w:rPr>
  </w:style>
  <w:style w:type="character" w:customStyle="1" w:styleId="rvts10">
    <w:name w:val="rvts10"/>
    <w:basedOn w:val="Fontdeparagrafimplicit"/>
    <w:rsid w:val="007C0C55"/>
  </w:style>
  <w:style w:type="character" w:styleId="Robust">
    <w:name w:val="Strong"/>
    <w:basedOn w:val="Fontdeparagrafimplicit"/>
    <w:uiPriority w:val="22"/>
    <w:qFormat/>
    <w:rsid w:val="00DD62F8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53F32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53F32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953F3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D1E8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D1E89"/>
    <w:rPr>
      <w:rFonts w:ascii="Segoe UI" w:eastAsia="Times New Roman" w:hAnsi="Segoe UI" w:cs="Segoe UI"/>
      <w:sz w:val="18"/>
      <w:szCs w:val="18"/>
    </w:rPr>
  </w:style>
  <w:style w:type="paragraph" w:customStyle="1" w:styleId="Style3">
    <w:name w:val="Style3"/>
    <w:basedOn w:val="Normal"/>
    <w:rsid w:val="00410698"/>
    <w:pPr>
      <w:widowControl w:val="0"/>
      <w:autoSpaceDE w:val="0"/>
      <w:autoSpaceDN w:val="0"/>
      <w:adjustRightInd w:val="0"/>
      <w:spacing w:line="310" w:lineRule="exact"/>
      <w:jc w:val="both"/>
    </w:pPr>
    <w:rPr>
      <w:lang w:val="ro-RO" w:eastAsia="ro-RO"/>
    </w:rPr>
  </w:style>
  <w:style w:type="paragraph" w:customStyle="1" w:styleId="xmsonormal">
    <w:name w:val="x_msonormal"/>
    <w:basedOn w:val="Normal"/>
    <w:rsid w:val="0041069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Justitiei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Ileana Petre</dc:creator>
  <cp:lastModifiedBy>Ileana Petre</cp:lastModifiedBy>
  <cp:revision>6</cp:revision>
  <cp:lastPrinted>2017-10-25T08:48:00Z</cp:lastPrinted>
  <dcterms:created xsi:type="dcterms:W3CDTF">2017-12-14T11:31:00Z</dcterms:created>
  <dcterms:modified xsi:type="dcterms:W3CDTF">2018-01-11T11:32:00Z</dcterms:modified>
</cp:coreProperties>
</file>